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Title"/>
      </w:pPr>
      <w:r>
        <w:t>Поручение на обработку персональных данных</w:t>
      </w:r>
    </w:p>
    <w:p>
      <w:pPr>
        <w:pStyle w:val="DocSubtitle"/>
      </w:pPr>
      <w:r>
        <w:t>Использовать, если маркетолог / SMM получает доступ к CRM, формам заявок, ботам, чатам, аудиториям и иным данным клиентов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28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Оператор</w:t>
            </w:r>
          </w:p>
        </w:tc>
        <w:tc>
          <w:tcPr>
            <w:tcW w:type="dxa" w:w="674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[Заказчик]</w:t>
            </w:r>
          </w:p>
        </w:tc>
      </w:tr>
      <w:tr>
        <w:tc>
          <w:tcPr>
            <w:tcW w:type="dxa" w:w="28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Обработчик по поручению</w:t>
            </w:r>
          </w:p>
        </w:tc>
        <w:tc>
          <w:tcPr>
            <w:tcW w:type="dxa" w:w="674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[Исполнитель]</w:t>
            </w:r>
          </w:p>
        </w:tc>
      </w:tr>
      <w:tr>
        <w:tc>
          <w:tcPr>
            <w:tcW w:type="dxa" w:w="28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Основание</w:t>
            </w:r>
          </w:p>
        </w:tc>
        <w:tc>
          <w:tcPr>
            <w:tcW w:type="dxa" w:w="674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Договор № [___] от [дд.мм.гггг]</w:t>
            </w:r>
          </w:p>
        </w:tc>
      </w:tr>
    </w:tbl>
    <w:p>
      <w:pPr>
        <w:pStyle w:val="Heading1"/>
      </w:pPr>
      <w:r>
        <w:t>1. Предмет поручения</w:t>
      </w:r>
    </w:p>
    <w:p>
      <w:r>
        <w:t>1.1. Оператор поручает, а Исполнитель принимает на себя обработку персональных данных в объеме и для целей, определенных настоящим поручением, исключительно в связи с исполнением маркетинговых и SMM-услуг по основному договору.</w:t>
      </w:r>
    </w:p>
    <w:p>
      <w:r>
        <w:t>1.2. Исполнитель не вправе использовать персональные данные в собственных целях, объединять их с данными других клиентов, создавать самостоятельные базы или передавать данные третьим лицам без письменного разрешения Оператора, если иное не вытекает из закона.</w:t>
      </w:r>
    </w:p>
    <w:p>
      <w:pPr>
        <w:pStyle w:val="Heading1"/>
      </w:pPr>
      <w:r>
        <w:t>2. Категории субъектов и перечень данных</w:t>
      </w:r>
    </w:p>
    <w:p>
      <w:r>
        <w:t>2.1. Субъекты данных: клиенты, потенциальные клиенты, посетители сайта, подписчики аккаунтов, пользователи чат-ботов, участники рекламных акций, представители контрагентов, иные лица, взаимодействующие с проектом.</w:t>
      </w:r>
    </w:p>
    <w:p>
      <w:r>
        <w:t>2.2. Перечень данных: фамилия, имя, отчество; телефон; адрес электронной почты; никнейм; сведения о заявке; источник обращения; история коммуникаций; иные данные, необходимые для аналитики, сегментации и обратной связи в пределах целей обработки.</w:t>
      </w:r>
    </w:p>
    <w:p>
      <w:pPr>
        <w:pStyle w:val="Heading1"/>
      </w:pPr>
      <w:r>
        <w:t>3. Действия с данными и цели обработки</w:t>
      </w:r>
    </w:p>
    <w:p>
      <w:r>
        <w:t>3.1. Допустимые действия: сбор, запись, систематизация, накопление, хранение, уточнение, извлечение, использование, передача внутри инфраструктуры Оператора, обезличивание, блокирование, удаление и уничтожение - в пределах, необходимых для настройки рекламы, аналитики, обработки лидов, коммуникации с пользователями и подготовки отчетности.</w:t>
      </w:r>
    </w:p>
    <w:p>
      <w:r>
        <w:t>3.2. Цели обработки: прием и обработка заявок, коммуникация с клиентами, сегментация аудитории, анализ эффективности рекламы, персонализация предложений, ведение CRM, формирование статистики и подготовка отчетов для Оператора.</w:t>
      </w:r>
    </w:p>
    <w:p>
      <w:pPr>
        <w:pStyle w:val="Heading1"/>
      </w:pPr>
      <w:r>
        <w:t>4. Меры защиты и ограничения</w:t>
      </w:r>
    </w:p>
    <w:p>
      <w:r>
        <w:t>4.1. Исполнитель обязан соблюдать конфиденциальность персональных данных, обеспечивать безопасность их обработки, ограничивать доступ сотрудников по ролям, использовать сложные пароли и двухфакторную аутентификацию там, где это возможно.</w:t>
      </w:r>
    </w:p>
    <w:p>
      <w:r>
        <w:t>4.2. При инциденте безопасности, утрате устройства, компрометации пароля, несанкционированном доступе либо ошибочной передаче данных Исполнитель немедленно уведомляет Оператора и выполняет его инструкции по локализации инцидента.</w:t>
      </w:r>
    </w:p>
    <w:p>
      <w:pPr>
        <w:pStyle w:val="Heading1"/>
      </w:pPr>
      <w:r>
        <w:t>5. Срок действия и прекращение поручения</w:t>
      </w:r>
    </w:p>
    <w:p>
      <w:r>
        <w:t>5.1. Поручение действует в течение срока основного договора, если более короткий срок не установлен сторонами. После прекращения договора Исполнитель прекращает обработку данных, возвращает или удаляет имеющиеся копии и подтверждает это актом либо письмом.</w:t>
      </w:r>
    </w:p>
    <w:p>
      <w:pPr>
        <w:pStyle w:val="Heading1"/>
      </w:pPr>
      <w:r>
        <w:t>6. Таблица доступа к данным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</w:trPr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Система</w:t>
            </w:r>
          </w:p>
        </w:tc>
        <w:tc>
          <w:tcPr>
            <w:tcW w:type="dxa" w:w="260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Категории данных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Уровень доступа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Цель доступа</w:t>
            </w:r>
          </w:p>
        </w:tc>
        <w:tc>
          <w:tcPr>
            <w:tcW w:type="dxa" w:w="124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Срок доступа</w:t>
            </w:r>
          </w:p>
        </w:tc>
      </w:tr>
      <w:tr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CRM</w:t>
            </w:r>
          </w:p>
        </w:tc>
        <w:tc>
          <w:tcPr>
            <w:tcW w:type="dxa" w:w="260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[контакты, история заявок]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[просмотр / редактирование]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[обработка лидов и аналитика]</w:t>
            </w:r>
          </w:p>
        </w:tc>
        <w:tc>
          <w:tcPr>
            <w:tcW w:type="dxa" w:w="124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Форма сайта</w:t>
            </w:r>
          </w:p>
        </w:tc>
        <w:tc>
          <w:tcPr>
            <w:tcW w:type="dxa" w:w="260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[имя, телефон, e-mail]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[просмотр]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[отчетность / проверка заявок]</w:t>
            </w:r>
          </w:p>
        </w:tc>
        <w:tc>
          <w:tcPr>
            <w:tcW w:type="dxa" w:w="124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Чат-бот / мессенджер</w:t>
            </w:r>
          </w:p>
        </w:tc>
        <w:tc>
          <w:tcPr>
            <w:tcW w:type="dxa" w:w="260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[никнейм, сообщения]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[просмотр / ответы]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[коммуникация]</w:t>
            </w:r>
          </w:p>
        </w:tc>
        <w:tc>
          <w:tcPr>
            <w:tcW w:type="dxa" w:w="124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Рекламная платформа</w:t>
            </w:r>
          </w:p>
        </w:tc>
        <w:tc>
          <w:tcPr>
            <w:tcW w:type="dxa" w:w="260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[аудитории, события]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[настройка / аналитика]</w:t>
            </w:r>
          </w:p>
        </w:tc>
        <w:tc>
          <w:tcPr>
            <w:tcW w:type="dxa" w:w="22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[кампании и ретаргетинг]</w:t>
            </w:r>
          </w:p>
        </w:tc>
        <w:tc>
          <w:tcPr>
            <w:tcW w:type="dxa" w:w="124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Оператор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Исполнитель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020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E7681"/>
        <w:sz w:val="17"/>
      </w:rPr>
      <w:t xml:space="preserve">Стр. </w:t>
    </w:r>
    <w:r>
      <w:fldChar w:fldCharType="begin"/>
      <w:instrText xml:space="preserve">PAGE</w:instrText>
      <w:fldChar w:fldCharType="separate"/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6E7681"/>
        <w:sz w:val="17"/>
      </w:rPr>
      <w:t>Поручение на обработку персональных данных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pPr>
      <w:spacing w:after="80"/>
      <w:jc w:val="center"/>
    </w:pPr>
    <w:rPr>
      <w:rFonts w:ascii="Times New Roman" w:hAnsi="Times New Roman" w:eastAsia="Times New Roman"/>
      <w:b/>
      <w:color w:val="313F57"/>
      <w:sz w:val="28"/>
    </w:rPr>
  </w:style>
  <w:style w:type="paragraph" w:customStyle="1" w:styleId="DocSubtitle">
    <w:name w:val="Doc Subtitle"/>
    <w:pPr>
      <w:spacing w:after="200"/>
      <w:jc w:val="center"/>
    </w:pPr>
    <w:rPr>
      <w:rFonts w:ascii="Times New Roman" w:hAnsi="Times New Roman" w:eastAsia="Times New Roman"/>
      <w:i/>
      <w:color w:val="5C6470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