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Памятка для бухгалтера перед проверкой по рискам дробления бизнеса</w:t>
      </w:r>
    </w:p>
    <w:p>
      <w:pPr>
        <w:pStyle w:val="Subtitle"/>
      </w:pPr>
      <w:r>
        <w:t>Внутренний рабочий шаблон. Не подменяет письменную позицию юриста и налогового консультанта.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B7C4D4"/>
          <w:left w:val="single" w:sz="8" w:space="0" w:color="B7C4D4"/>
          <w:bottom w:val="single" w:sz="8" w:space="0" w:color="B7C4D4"/>
          <w:right w:val="single" w:sz="8" w:space="0" w:color="B7C4D4"/>
          <w:insideH w:val="single" w:sz="8" w:space="0" w:color="B7C4D4"/>
          <w:insideV w:val="single" w:sz="8" w:space="0" w:color="B7C4D4"/>
        </w:tblBorders>
      </w:tblPr>
      <w:tblGrid>
        <w:gridCol w:w="9866"/>
      </w:tblGrid>
      <w:tr>
        <w:tc>
          <w:tcPr>
            <w:tcW w:type="dxa" w:w="9866"/>
            <w:shd w:fill="F4F8FB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r>
              <w:rPr>
                <w:rFonts w:ascii="Times New Roman" w:hAnsi="Times New Roman" w:eastAsia="Times New Roman"/>
                <w:b/>
                <w:color w:val="1F2937"/>
                <w:sz w:val="21"/>
              </w:rPr>
              <w:t xml:space="preserve">Как пользоваться: </w:t>
            </w:r>
            <w:r>
              <w:rPr>
                <w:rFonts w:ascii="Times New Roman" w:hAnsi="Times New Roman" w:eastAsia="Times New Roman"/>
                <w:sz w:val="21"/>
              </w:rPr>
              <w:t>Смысл памятки - быстро понять, какие документы и объяснения нужно собрать заранее, чтобы не искать их в авральном режиме после запроса или требования.</w:t>
            </w:r>
          </w:p>
        </w:tc>
      </w:tr>
    </w:tbl>
    <w:p/>
    <w:p>
      <w:pPr>
        <w:pStyle w:val="Heading1"/>
      </w:pPr>
      <w:r>
        <w:t>1. Что собрать сразу</w:t>
      </w:r>
    </w:p>
    <w:p>
      <w:pPr>
        <w:ind w:left="227" w:hanging="227"/>
      </w:pPr>
      <w:r>
        <w:rPr>
          <w:b/>
        </w:rPr>
        <w:t xml:space="preserve">• </w:t>
      </w:r>
      <w:r>
        <w:t>Учредительные документы, сведения о собственниках, директорах и взаимосвязях участников группы.</w:t>
      </w:r>
    </w:p>
    <w:p>
      <w:pPr>
        <w:ind w:left="227" w:hanging="227"/>
      </w:pPr>
      <w:r>
        <w:rPr>
          <w:b/>
        </w:rPr>
        <w:t xml:space="preserve">• </w:t>
      </w:r>
      <w:r>
        <w:t>Договоры с клиентами, поставщиками и внутри группы, включая акты, счета, платежные документы.</w:t>
      </w:r>
    </w:p>
    <w:p>
      <w:pPr>
        <w:ind w:left="227" w:hanging="227"/>
      </w:pPr>
      <w:r>
        <w:rPr>
          <w:b/>
        </w:rPr>
        <w:t xml:space="preserve">• </w:t>
      </w:r>
      <w:r>
        <w:t>Штатное расписание, кадровые документы, приказы о переводах, договоры аутсорсинга или сервисного обслуживания.</w:t>
      </w:r>
    </w:p>
    <w:p>
      <w:pPr>
        <w:ind w:left="227" w:hanging="227"/>
      </w:pPr>
      <w:r>
        <w:rPr>
          <w:b/>
        </w:rPr>
        <w:t xml:space="preserve">• </w:t>
      </w:r>
      <w:r>
        <w:t>Документы по активам: аренда, оборудование, транспорт, склад, сайт, домены, рекламные кабинеты, лицензии.</w:t>
      </w:r>
    </w:p>
    <w:p>
      <w:pPr>
        <w:ind w:left="227" w:hanging="227"/>
      </w:pPr>
      <w:r>
        <w:rPr>
          <w:b/>
        </w:rPr>
        <w:t xml:space="preserve">• </w:t>
      </w:r>
      <w:r>
        <w:t>Учетные регистры и пояснения по распределению выручки, расходов и налогового режима.</w:t>
      </w:r>
    </w:p>
    <w:p>
      <w:pPr>
        <w:pStyle w:val="Heading1"/>
      </w:pPr>
      <w:r>
        <w:t>2. Проверка слабых мест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3969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Вопрос</w:t>
            </w:r>
          </w:p>
        </w:tc>
        <w:tc>
          <w:tcPr>
            <w:tcW w:type="dxa" w:w="964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Да / нет</w:t>
            </w:r>
          </w:p>
        </w:tc>
        <w:tc>
          <w:tcPr>
            <w:tcW w:type="dxa" w:w="2154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Что приложить</w:t>
            </w:r>
          </w:p>
        </w:tc>
        <w:tc>
          <w:tcPr>
            <w:tcW w:type="dxa" w:w="243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Краткое пояснение</w:t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общий центр управления у нескольких лиц группы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пересечение сотрудников и функций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общие активы без договоров и оплаты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смешение расходов или денежных потоков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единые клиенты и единый коммерческий поток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документы, подтверждающие деловую цель структуры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3. Что не стоит делать при подготовке ответа</w:t>
      </w:r>
    </w:p>
    <w:p>
      <w:pPr>
        <w:ind w:left="227" w:hanging="227"/>
      </w:pPr>
      <w:r>
        <w:rPr>
          <w:b/>
        </w:rPr>
        <w:t xml:space="preserve">• </w:t>
      </w:r>
      <w:r>
        <w:t>Не дописывать задним числом документы, которые не отражают реальную модель работы.</w:t>
      </w:r>
    </w:p>
    <w:p>
      <w:pPr>
        <w:ind w:left="227" w:hanging="227"/>
      </w:pPr>
      <w:r>
        <w:rPr>
          <w:b/>
        </w:rPr>
        <w:t xml:space="preserve">• </w:t>
      </w:r>
      <w:r>
        <w:t>Не давать общие объяснения без привязки к конкретным фактам, договорам и платежам.</w:t>
      </w:r>
    </w:p>
    <w:p>
      <w:pPr>
        <w:ind w:left="227" w:hanging="227"/>
      </w:pPr>
      <w:r>
        <w:rPr>
          <w:b/>
        </w:rPr>
        <w:t xml:space="preserve">• </w:t>
      </w:r>
      <w:r>
        <w:t>Не смешивать аргументы разных компаний группы в одном ответе без понятной структуры.</w:t>
      </w:r>
    </w:p>
    <w:p>
      <w:pPr>
        <w:ind w:left="227" w:hanging="227"/>
      </w:pPr>
      <w:r>
        <w:rPr>
          <w:b/>
        </w:rPr>
        <w:t xml:space="preserve">• </w:t>
      </w:r>
      <w:r>
        <w:t>Не отправлять неполные таблицы или выгрузки без пояснений, если из них следует неоднозначный вывод.</w:t>
      </w:r>
    </w:p>
    <w:p>
      <w:pPr>
        <w:pStyle w:val="Heading1"/>
      </w:pPr>
      <w:r>
        <w:t>4. Рабочая таблица по документам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1587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Категория</w:t>
            </w:r>
          </w:p>
        </w:tc>
        <w:tc>
          <w:tcPr>
            <w:tcW w:type="dxa" w:w="4422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Перечень документов</w:t>
            </w:r>
          </w:p>
        </w:tc>
        <w:tc>
          <w:tcPr>
            <w:tcW w:type="dxa" w:w="1587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Ответственный</w:t>
            </w:r>
          </w:p>
        </w:tc>
        <w:tc>
          <w:tcPr>
            <w:tcW w:type="dxa" w:w="1757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Собрано / нет</w:t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Корпоративные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Уставы, решения, сведения об участниках и директорах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Договорные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Основные договоры, акты, счета, платежи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Кадровые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Трудовые договоры, приказы, переводы, сервисные договоры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Активы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Аренда, техника, склад, сайт, домены, реклама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Налоговые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Декларации, книги учета, оборотки, пояснения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Деловая цель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Бизнес-планы, бюджеты, презентации, решения о структуре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5. Финальная внутренняя проверка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Поле</w:t>
            </w:r>
          </w:p>
        </w:tc>
        <w:tc>
          <w:tcPr>
            <w:tcW w:type="dxa" w:w="6576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Что заполнить / отметить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Кто утверждает комплект документов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Нужна ли внешняя правовая позиция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Да / нет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Есть ли единая хронология событий по группе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Да / нет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Что еще нужно подготовить до ответа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B7280"/>
        <w:sz w:val="16"/>
      </w:rPr>
      <w:t>Подготовлено как внутренний шаблон. Заполнить перед использованием.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B7280"/>
        <w:sz w:val="18"/>
      </w:rPr>
      <w:t>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2345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293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7415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F2937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80"/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6B7280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