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Приложение № 2. Реестр доступов и порядок передачи аккаунтов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К договору</w:t>
            </w:r>
          </w:p>
        </w:tc>
        <w:tc>
          <w:tcPr>
            <w:tcW w:type="dxa" w:w="669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№ [___] от [дд.мм.гггг]</w:t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Проект / бренд</w:t>
            </w:r>
          </w:p>
        </w:tc>
        <w:tc>
          <w:tcPr>
            <w:tcW w:type="dxa" w:w="669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[___]</w:t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Ответственное лицо Заказчика</w:t>
            </w:r>
          </w:p>
        </w:tc>
        <w:tc>
          <w:tcPr>
            <w:tcW w:type="dxa" w:w="669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[Ф.И.О., должность, e-mail, телефон]</w:t>
            </w:r>
          </w:p>
        </w:tc>
      </w:tr>
    </w:tbl>
    <w:p>
      <w:pPr>
        <w:pStyle w:val="Heading1"/>
      </w:pPr>
      <w:r>
        <w:t>1. Общие правила</w:t>
      </w:r>
    </w:p>
    <w:p>
      <w:r>
        <w:t>1.1. Настоящее приложение фиксирует перечень цифровых активов, уровень доступа Исполнителя, владельца актива, способ восстановления доступа и порядок передачи такого актива Заказчику при прекращении договора.</w:t>
      </w:r>
    </w:p>
    <w:p>
      <w:r>
        <w:t>1.2. Любое изменение владельца аккаунта, основной почты, номера телефона для восстановления, состава администраторов, платежного профиля или настроек двухфакторной аутентификации допускается только по письменному согласованию сторон.</w:t>
      </w:r>
    </w:p>
    <w:p>
      <w:r>
        <w:t>1.3. Исполнитель не вправе использовать личные адреса электронной почты, номера телефонов, банковские карты или платежные профили в качестве единственной точки контроля над активом Заказчика, если это не согласовано письменно и не продублировано правами Заказчика.</w:t>
      </w:r>
    </w:p>
    <w:p>
      <w:pPr>
        <w:pStyle w:val="Heading1"/>
      </w:pPr>
      <w:r>
        <w:t>2. Реестр доступов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>
        <w:trPr>
          <w:tblHeader w:val="true"/>
        </w:trP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№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Сервис / актив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Ссылка / ID</w:t>
            </w:r>
          </w:p>
        </w:tc>
        <w:tc>
          <w:tcPr>
            <w:tcW w:type="dxa" w:w="107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Владелец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Уровень доступа Исполнителя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Логин / почта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2FA / резервный контакт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Дата выдачи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Дата возврата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1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Соцсеть / канал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07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[Заказчик]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[редактор / админ]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2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Рекламный кабинет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07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[Заказчик]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[аналитик / рекламодатель]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3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Метрика / аналитика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07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[Заказчик]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[просмотр / редактирование]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4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CRM / форма заявок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07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[Заказчик]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[ограниченный / полный]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5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Почта / домен / иное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07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[Заказчик]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13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  <w:tc>
          <w:tcPr>
            <w:tcW w:type="dxa" w:w="79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</w:tbl>
    <w:p>
      <w:pPr>
        <w:pStyle w:val="Heading1"/>
      </w:pPr>
      <w:r>
        <w:t>3. Что именно передается Заказчику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15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Актив</w:t>
            </w:r>
          </w:p>
        </w:tc>
        <w:tc>
          <w:tcPr>
            <w:tcW w:type="dxa" w:w="402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Передаваемые элементы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Форма передачи</w:t>
            </w:r>
          </w:p>
        </w:tc>
        <w:tc>
          <w:tcPr>
            <w:tcW w:type="dxa" w:w="10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Срок</w:t>
            </w:r>
          </w:p>
        </w:tc>
        <w:tc>
          <w:tcPr>
            <w:tcW w:type="dxa" w:w="11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Отметка о приеме</w:t>
            </w:r>
          </w:p>
        </w:tc>
      </w:tr>
      <w:tr>
        <w:tc>
          <w:tcPr>
            <w:tcW w:type="dxa" w:w="15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Соцсети</w:t>
            </w:r>
          </w:p>
        </w:tc>
        <w:tc>
          <w:tcPr>
            <w:tcW w:type="dxa" w:w="402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права владельца, список администраторов, резервные коды, архив контента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через интерфейс сервиса + акт</w:t>
            </w:r>
          </w:p>
        </w:tc>
        <w:tc>
          <w:tcPr>
            <w:tcW w:type="dxa" w:w="10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1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5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Рекламные кабинеты</w:t>
            </w:r>
          </w:p>
        </w:tc>
        <w:tc>
          <w:tcPr>
            <w:tcW w:type="dxa" w:w="402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права владельца, пиксели, аудитории, кампании, биллинг-данные по согласованию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через интерфейс сервиса + отчет</w:t>
            </w:r>
          </w:p>
        </w:tc>
        <w:tc>
          <w:tcPr>
            <w:tcW w:type="dxa" w:w="10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1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5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Аналитика</w:t>
            </w:r>
          </w:p>
        </w:tc>
        <w:tc>
          <w:tcPr>
            <w:tcW w:type="dxa" w:w="402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счетчики, цели, события, контейнеры, дашборды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через интерфейс сервиса + экспорт</w:t>
            </w:r>
          </w:p>
        </w:tc>
        <w:tc>
          <w:tcPr>
            <w:tcW w:type="dxa" w:w="10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1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5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Исходники</w:t>
            </w:r>
          </w:p>
        </w:tc>
        <w:tc>
          <w:tcPr>
            <w:tcW w:type="dxa" w:w="402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макеты, editable-файлы, таблицы, медиапланы, шаблоны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облачная папка / архив</w:t>
            </w:r>
          </w:p>
        </w:tc>
        <w:tc>
          <w:tcPr>
            <w:tcW w:type="dxa" w:w="10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1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</w:tbl>
    <w:p>
      <w:pPr>
        <w:pStyle w:val="Heading1"/>
      </w:pPr>
      <w:r>
        <w:t>4. Порядок завершения доступа</w:t>
      </w:r>
    </w:p>
    <w:p>
      <w:pPr>
        <w:ind w:left="340" w:hanging="255"/>
      </w:pPr>
      <w:r>
        <w:t>• после подписания акта возврата доступов Заказчик меняет пароли, токены, ключи API и резервные контакты по активам, указанным в реестре;</w:t>
      </w:r>
    </w:p>
    <w:p>
      <w:pPr>
        <w:ind w:left="340" w:hanging="255"/>
      </w:pPr>
      <w:r>
        <w:t>• Исполнитель удаляет со своих устройств сохраненные пароли, сеансы, cookies, локальные копии файлов, клиентские базы и иные данные проекта, если иное не согласовано письменно;</w:t>
      </w:r>
    </w:p>
    <w:p>
      <w:pPr>
        <w:ind w:left="340" w:hanging="255"/>
      </w:pPr>
      <w:r>
        <w:t>• если сервис не позволяет сразу передать право владельца, Исполнитель обязан совершить все доступные в интерфейсе действия для перевода контроля на Заказчика и предоставить подтверждающие скриншоты / выгрузки;</w:t>
      </w:r>
    </w:p>
    <w:p>
      <w:pPr>
        <w:ind w:left="340" w:hanging="255"/>
      </w:pPr>
      <w:r>
        <w:t>• обнаружение несанкционированного входа после завершения проекта считается существенным нарушением и подлежит немедленному расследованию сторонами.</w:t>
      </w:r>
    </w:p>
    <w:p>
      <w:pPr>
        <w:pStyle w:val="Heading1"/>
      </w:pPr>
      <w:r>
        <w:t>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Заказчик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Исполнитель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E7681"/>
        <w:sz w:val="17"/>
      </w:rPr>
      <w:t xml:space="preserve">Стр. </w:t>
    </w: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E7681"/>
        <w:sz w:val="17"/>
      </w:rPr>
      <w:t>Приложение № 2. Реестр доступов и порядок передачи аккаунтов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pPr>
      <w:spacing w:after="80"/>
      <w:jc w:val="center"/>
    </w:pPr>
    <w:rPr>
      <w:rFonts w:ascii="Times New Roman" w:hAnsi="Times New Roman" w:eastAsia="Times New Roman"/>
      <w:b/>
      <w:color w:val="313F57"/>
      <w:sz w:val="28"/>
    </w:rPr>
  </w:style>
  <w:style w:type="paragraph" w:customStyle="1" w:styleId="DocSubtitle">
    <w:name w:val="Doc Subtitle"/>
    <w:pPr>
      <w:spacing w:after="200"/>
      <w:jc w:val="center"/>
    </w:pPr>
    <w:rPr>
      <w:rFonts w:ascii="Times New Roman" w:hAnsi="Times New Roman" w:eastAsia="Times New Roman"/>
      <w:i/>
      <w:color w:val="5C647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