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Title"/>
      </w:pPr>
      <w:r>
        <w:t>Приложение № 1. KPI, отчетность и порядок приемки услуг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255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К договору</w:t>
            </w:r>
          </w:p>
        </w:tc>
        <w:tc>
          <w:tcPr>
            <w:tcW w:type="dxa" w:w="708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№ [___] от [дд.мм.гггг]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Отчетный период</w:t>
            </w:r>
          </w:p>
        </w:tc>
        <w:tc>
          <w:tcPr>
            <w:tcW w:type="dxa" w:w="708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[месяц / квартал / иной период]</w:t>
            </w:r>
          </w:p>
        </w:tc>
      </w:tr>
      <w:tr>
        <w:tc>
          <w:tcPr>
            <w:tcW w:type="dxa" w:w="255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Проект / бренд</w:t>
            </w:r>
          </w:p>
        </w:tc>
        <w:tc>
          <w:tcPr>
            <w:tcW w:type="dxa" w:w="708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[наименование проекта]</w:t>
            </w:r>
          </w:p>
        </w:tc>
      </w:tr>
    </w:tbl>
    <w:p>
      <w:pPr>
        <w:pStyle w:val="Heading1"/>
      </w:pPr>
      <w:r>
        <w:t>1. Общие правила</w:t>
      </w:r>
    </w:p>
    <w:p>
      <w:r>
        <w:t>1.1. Настоящее приложение определяет набор KPI, источники данных, правила расчета, отчетный период, формат отчета и влияние показателей на вознаграждение Исполнителя.</w:t>
      </w:r>
    </w:p>
    <w:p>
      <w:r>
        <w:t>1.2. Стороны подтверждают, что KPI используются для оценки эффективности работ и расчета бонусной либо переменной части вознаграждения. Сам по себе факт невыполнения KPI не означает автоматически, что услуги не оказывались, если Исполнитель выполнил согласованный объем действий и передал отчет.</w:t>
      </w:r>
    </w:p>
    <w:p>
      <w:r>
        <w:t>1.3. В случае противоречия между данными разных систем приоритет имеют данные системы, указанной сторонами как основная для конкретного показателя.</w:t>
      </w:r>
    </w:p>
    <w:p>
      <w:pPr>
        <w:pStyle w:val="Heading1"/>
      </w:pPr>
      <w:r>
        <w:t>2. Таблица KPI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rPr>
          <w:tblHeader w:val="true"/>
        </w:trPr>
        <w:tc>
          <w:tcPr>
            <w:tcW w:type="dxa" w:w="45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№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Показатель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База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План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Факт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Источник данных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Формула / правила расчета</w:t>
            </w:r>
          </w:p>
        </w:tc>
        <w:tc>
          <w:tcPr>
            <w:tcW w:type="dxa" w:w="164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Влияние на оплату</w:t>
            </w:r>
          </w:p>
        </w:tc>
      </w:tr>
      <w:tr>
        <w:tc>
          <w:tcPr>
            <w:tcW w:type="dxa" w:w="45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1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Количество публикаций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[контент-план / платформа]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[шт.]</w:t>
            </w:r>
          </w:p>
        </w:tc>
        <w:tc>
          <w:tcPr>
            <w:tcW w:type="dxa" w:w="164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[фиксируется как объем услуг]</w:t>
            </w:r>
          </w:p>
        </w:tc>
      </w:tr>
      <w:tr>
        <w:tc>
          <w:tcPr>
            <w:tcW w:type="dxa" w:w="45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2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Охват / показы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[кабинет / соцсеть]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[по данным площадки]</w:t>
            </w:r>
          </w:p>
        </w:tc>
        <w:tc>
          <w:tcPr>
            <w:tcW w:type="dxa" w:w="164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[бонус / аналитика]</w:t>
            </w:r>
          </w:p>
        </w:tc>
      </w:tr>
      <w:tr>
        <w:tc>
          <w:tcPr>
            <w:tcW w:type="dxa" w:w="45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3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CTR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[рекламный кабинет]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[клики / показы]</w:t>
            </w:r>
          </w:p>
        </w:tc>
        <w:tc>
          <w:tcPr>
            <w:tcW w:type="dxa" w:w="164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[бонус / без штрафа]</w:t>
            </w:r>
          </w:p>
        </w:tc>
      </w:tr>
      <w:tr>
        <w:tc>
          <w:tcPr>
            <w:tcW w:type="dxa" w:w="45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4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CPL / стоимость лида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[кабинет + CRM]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[расход / число лидов]</w:t>
            </w:r>
          </w:p>
        </w:tc>
        <w:tc>
          <w:tcPr>
            <w:tcW w:type="dxa" w:w="164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[переменная часть]</w:t>
            </w:r>
          </w:p>
        </w:tc>
      </w:tr>
      <w:tr>
        <w:tc>
          <w:tcPr>
            <w:tcW w:type="dxa" w:w="45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5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Заявки / лиды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[CRM / форма / коллтрекинг]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[по согласованным статусам]</w:t>
            </w:r>
          </w:p>
        </w:tc>
        <w:tc>
          <w:tcPr>
            <w:tcW w:type="dxa" w:w="164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[переменная часть]</w:t>
            </w:r>
          </w:p>
        </w:tc>
      </w:tr>
      <w:tr>
        <w:tc>
          <w:tcPr>
            <w:tcW w:type="dxa" w:w="45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6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Иной KPI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8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47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81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  <w:tc>
          <w:tcPr>
            <w:tcW w:type="dxa" w:w="1644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</w:tbl>
    <w:p>
      <w:pPr>
        <w:pStyle w:val="Heading1"/>
      </w:pPr>
      <w:r>
        <w:t>3. Источники данных и спорные ситуации</w:t>
      </w:r>
    </w:p>
    <w:p>
      <w:pPr>
        <w:ind w:left="340" w:hanging="255"/>
      </w:pPr>
      <w:r>
        <w:t>• для рекламных показателей используются данные рекламного кабинета, если иное не согласовано в таблице KPI;</w:t>
      </w:r>
    </w:p>
    <w:p>
      <w:pPr>
        <w:ind w:left="340" w:hanging="255"/>
      </w:pPr>
      <w:r>
        <w:t>• для лидов и продаж стороны обязаны заранее определить, какая CRM считается основной, какие статусы признаются валидными и кто отвечает за разметку источников;</w:t>
      </w:r>
    </w:p>
    <w:p>
      <w:pPr>
        <w:ind w:left="340" w:hanging="255"/>
      </w:pPr>
      <w:r>
        <w:t>• если сайт, отдел продаж, call-центр, склад, ассортимент, цены, формы заявок или иные влияющие на конверсию элементы находятся вне контроля Исполнителя, это должно учитываться при анализе причин отклонения KPI;</w:t>
      </w:r>
    </w:p>
    <w:p>
      <w:pPr>
        <w:ind w:left="340" w:hanging="255"/>
      </w:pPr>
      <w:r>
        <w:t>• за период, в котором Заказчик не предоставил бюджет, доступы, контент, согласование или иные обязательные вводные, KPI могут быть скорректированы дополнительным соглашением или перепиской сторон.</w:t>
      </w:r>
    </w:p>
    <w:p>
      <w:pPr>
        <w:pStyle w:val="Heading1"/>
      </w:pPr>
      <w:r>
        <w:t>4. Структура отчета Исполнителя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rPr>
          <w:tblHeader w:val="true"/>
        </w:trPr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Раздел отчета</w:t>
            </w:r>
          </w:p>
        </w:tc>
        <w:tc>
          <w:tcPr>
            <w:tcW w:type="dxa" w:w="396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Что включить</w:t>
            </w:r>
          </w:p>
        </w:tc>
        <w:tc>
          <w:tcPr>
            <w:tcW w:type="dxa" w:w="141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Формат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19"/>
              </w:rPr>
              <w:t>Отметка Заказчика</w:t>
            </w:r>
          </w:p>
        </w:tc>
      </w:tr>
      <w:tr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Объем работ</w:t>
            </w:r>
          </w:p>
        </w:tc>
        <w:tc>
          <w:tcPr>
            <w:tcW w:type="dxa" w:w="396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список задач, публикаций, кампаний, правок, встреч</w:t>
            </w:r>
          </w:p>
        </w:tc>
        <w:tc>
          <w:tcPr>
            <w:tcW w:type="dxa" w:w="141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таблица / список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  <w:tr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Метрики</w:t>
            </w:r>
          </w:p>
        </w:tc>
        <w:tc>
          <w:tcPr>
            <w:tcW w:type="dxa" w:w="396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KPI по согласованным источникам данных</w:t>
            </w:r>
          </w:p>
        </w:tc>
        <w:tc>
          <w:tcPr>
            <w:tcW w:type="dxa" w:w="141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таблица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  <w:tr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Переданные материалы</w:t>
            </w:r>
          </w:p>
        </w:tc>
        <w:tc>
          <w:tcPr>
            <w:tcW w:type="dxa" w:w="396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баннеры, тексты, макеты, исходники, ссылки</w:t>
            </w:r>
          </w:p>
        </w:tc>
        <w:tc>
          <w:tcPr>
            <w:tcW w:type="dxa" w:w="141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реестр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  <w:tr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Комментарий по рискам</w:t>
            </w:r>
          </w:p>
        </w:tc>
        <w:tc>
          <w:tcPr>
            <w:tcW w:type="dxa" w:w="396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блокировки, недоступность данных, задержки согласования</w:t>
            </w:r>
          </w:p>
        </w:tc>
        <w:tc>
          <w:tcPr>
            <w:tcW w:type="dxa" w:w="141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абзац</w:t>
            </w:r>
          </w:p>
        </w:tc>
        <w:tc>
          <w:tcPr>
            <w:tcW w:type="dxa" w:w="170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8FAFC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19"/>
              </w:rPr>
              <w:t>[___]</w:t>
            </w:r>
          </w:p>
        </w:tc>
      </w:tr>
    </w:tbl>
    <w:p>
      <w:pPr>
        <w:pStyle w:val="Heading1"/>
      </w:pPr>
      <w:r>
        <w:t>5. Влияние KPI на оплату</w:t>
      </w:r>
    </w:p>
    <w:p>
      <w:r>
        <w:t>5.1. Фиксированная часть вознаграждения за отчетный период составляет [___] руб.</w:t>
      </w:r>
    </w:p>
    <w:p>
      <w:r>
        <w:t>5.2. Переменная часть рассчитывается по формуле: [описать формулу, коэффициенты, минимальные и максимальные значения].</w:t>
      </w:r>
    </w:p>
    <w:p>
      <w:r>
        <w:t>5.3. Если показатель зависит от данных Заказчика, а такие данные не предоставлены или предоставлены с ошибками, расчет производится по последним подтвержденным данным либо переносится на следующий период по письменному согласованию сторон.</w:t>
      </w:r>
    </w:p>
    <w:p>
      <w:r>
        <w:t>5.4. Стороны вправе предусмотреть, что KPI влияют на бонус, скидку, корректировку следующего периода, но не отменяют обязанность оплатить фактически оказанные услуги при надлежащем исполнении.</w:t>
      </w:r>
    </w:p>
    <w:p>
      <w:pPr>
        <w:pStyle w:val="Heading1"/>
      </w:pPr>
      <w:r>
        <w:t>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Заказчик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Исполнитель</w:t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020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6E7681"/>
        <w:sz w:val="17"/>
      </w:rPr>
      <w:t xml:space="preserve">Стр. </w:t>
    </w:r>
    <w:r>
      <w:fldChar w:fldCharType="begin"/>
      <w:instrText xml:space="preserve">PAGE</w:instrText>
      <w:fldChar w:fldCharType="separate"/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 w:eastAsia="Times New Roman"/>
        <w:color w:val="6E7681"/>
        <w:sz w:val="17"/>
      </w:rPr>
      <w:t>Приложение № 1. KPI, отчетность и порядок приемки услуг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 Title"/>
    <w:pPr>
      <w:spacing w:after="80"/>
      <w:jc w:val="center"/>
    </w:pPr>
    <w:rPr>
      <w:rFonts w:ascii="Times New Roman" w:hAnsi="Times New Roman" w:eastAsia="Times New Roman"/>
      <w:b/>
      <w:color w:val="313F57"/>
      <w:sz w:val="28"/>
    </w:rPr>
  </w:style>
  <w:style w:type="paragraph" w:customStyle="1" w:styleId="DocSubtitle">
    <w:name w:val="Doc Subtitle"/>
    <w:pPr>
      <w:spacing w:after="200"/>
      <w:jc w:val="center"/>
    </w:pPr>
    <w:rPr>
      <w:rFonts w:ascii="Times New Roman" w:hAnsi="Times New Roman" w:eastAsia="Times New Roman"/>
      <w:i/>
      <w:color w:val="5C6470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