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DocTitle"/>
      </w:pPr>
      <w:r>
        <w:t>Шаблон договора оказания маркетинговых услуг / SMM</w:t>
      </w:r>
    </w:p>
    <w:p>
      <w:pPr>
        <w:pStyle w:val="DocSubtitle"/>
      </w:pPr>
      <w:r>
        <w:t>Подходит для маркетолога, SMM-специалиста, таргетолога, контент-подрядчика и смешанных digital-услуг</w:t>
      </w:r>
    </w:p>
    <w:tbl>
      <w:tblPr>
        <w:tblStyle w:val="TableGrid"/>
        <w:tblW w:type="auto" w:w="0"/>
        <w:jc w:val="center"/>
        <w:tblLayout w:type="fixed"/>
        <w:tblLook w:firstColumn="1" w:firstRow="1" w:lastColumn="0" w:lastRow="0" w:noHBand="0" w:noVBand="1" w:val="04A0"/>
      </w:tblPr>
      <w:tblGrid>
        <w:gridCol w:w="4819"/>
        <w:gridCol w:w="4819"/>
      </w:tblGrid>
      <w:tr>
        <w:trPr>
          <w:tblHeader w:val="true"/>
        </w:trPr>
        <w:tc>
          <w:tcPr>
            <w:tcW w:type="dxa" w:w="2608"/>
            <w:vAlign w:val="center"/>
            <w:tcMar>
              <w:top w:w="80" w:type="dxa"/>
              <w:start w:w="120" w:type="dxa"/>
              <w:bottom w:w="80" w:type="dxa"/>
              <w:end w:w="120" w:type="dxa"/>
            </w:tcMar>
            <w:shd w:fill="EAF0F8"/>
            <w:shd w:fill="F3F6FA"/>
          </w:tcPr>
          <w:p>
            <w:pPr>
              <w:spacing w:before="20" w:after="20" w:line="252" w:lineRule="auto"/>
            </w:pPr>
            <w:r>
              <w:rPr>
                <w:rFonts w:ascii="Times New Roman" w:hAnsi="Times New Roman" w:eastAsia="Times New Roman"/>
                <w:b/>
                <w:sz w:val="21"/>
              </w:rPr>
              <w:t>Заказчик</w:t>
            </w:r>
          </w:p>
        </w:tc>
        <w:tc>
          <w:tcPr>
            <w:tcW w:type="dxa" w:w="7030"/>
            <w:vAlign w:val="center"/>
            <w:tcMar>
              <w:top w:w="80" w:type="dxa"/>
              <w:start w:w="120" w:type="dxa"/>
              <w:bottom w:w="80" w:type="dxa"/>
              <w:end w:w="120" w:type="dxa"/>
            </w:tcMar>
            <w:shd w:fill="EAF0F8"/>
          </w:tcPr>
          <w:p>
            <w:pPr>
              <w:spacing w:before="20" w:after="20" w:line="252" w:lineRule="auto"/>
            </w:pPr>
            <w:r>
              <w:rPr>
                <w:rFonts w:ascii="Times New Roman" w:hAnsi="Times New Roman" w:eastAsia="Times New Roman"/>
                <w:b/>
                <w:sz w:val="21"/>
              </w:rPr>
              <w:t>[Полное наименование / Ф.И.О., ИНН, ОГРН/ОГРНИП, адрес]</w:t>
            </w:r>
          </w:p>
        </w:tc>
      </w:tr>
      <w:tr>
        <w:tc>
          <w:tcPr>
            <w:tcW w:type="dxa" w:w="2608"/>
            <w:vAlign w:val="center"/>
            <w:tcMar>
              <w:top w:w="80" w:type="dxa"/>
              <w:start w:w="120" w:type="dxa"/>
              <w:bottom w:w="80" w:type="dxa"/>
              <w:end w:w="120" w:type="dxa"/>
            </w:tcMar>
            <w:shd w:fill="F3F6FA"/>
          </w:tcPr>
          <w:p>
            <w:pPr>
              <w:spacing w:before="20" w:after="20" w:line="252" w:lineRule="auto"/>
            </w:pPr>
            <w:r>
              <w:rPr>
                <w:rFonts w:ascii="Times New Roman" w:hAnsi="Times New Roman" w:eastAsia="Times New Roman"/>
                <w:sz w:val="21"/>
              </w:rPr>
              <w:t>Исполнитель</w:t>
            </w:r>
          </w:p>
        </w:tc>
        <w:tc>
          <w:tcPr>
            <w:tcW w:type="dxa" w:w="7030"/>
            <w:vAlign w:val="center"/>
            <w:tcMar>
              <w:top w:w="80" w:type="dxa"/>
              <w:start w:w="120" w:type="dxa"/>
              <w:bottom w:w="80" w:type="dxa"/>
              <w:end w:w="120" w:type="dxa"/>
            </w:tcMar>
          </w:tcPr>
          <w:p>
            <w:pPr>
              <w:spacing w:before="20" w:after="20" w:line="252" w:lineRule="auto"/>
            </w:pPr>
            <w:r>
              <w:rPr>
                <w:rFonts w:ascii="Times New Roman" w:hAnsi="Times New Roman" w:eastAsia="Times New Roman"/>
                <w:sz w:val="21"/>
              </w:rPr>
              <w:t>[Полное наименование / Ф.И.О., ИНН, ОГРН/ОГРНИП, адрес]</w:t>
            </w:r>
          </w:p>
        </w:tc>
      </w:tr>
      <w:tr>
        <w:tc>
          <w:tcPr>
            <w:tcW w:type="dxa" w:w="2608"/>
            <w:vAlign w:val="center"/>
            <w:tcMar>
              <w:top w:w="80" w:type="dxa"/>
              <w:start w:w="120" w:type="dxa"/>
              <w:bottom w:w="80" w:type="dxa"/>
              <w:end w:w="120" w:type="dxa"/>
            </w:tcMar>
            <w:shd w:fill="F3F6FA"/>
          </w:tcPr>
          <w:p>
            <w:pPr>
              <w:spacing w:before="20" w:after="20" w:line="252" w:lineRule="auto"/>
            </w:pPr>
            <w:r>
              <w:rPr>
                <w:rFonts w:ascii="Times New Roman" w:hAnsi="Times New Roman" w:eastAsia="Times New Roman"/>
                <w:sz w:val="21"/>
              </w:rPr>
              <w:t>Номер и дата</w:t>
            </w:r>
          </w:p>
        </w:tc>
        <w:tc>
          <w:tcPr>
            <w:tcW w:type="dxa" w:w="7030"/>
            <w:vAlign w:val="center"/>
            <w:tcMar>
              <w:top w:w="80" w:type="dxa"/>
              <w:start w:w="120" w:type="dxa"/>
              <w:bottom w:w="80" w:type="dxa"/>
              <w:end w:w="120" w:type="dxa"/>
            </w:tcMar>
          </w:tcPr>
          <w:p>
            <w:pPr>
              <w:spacing w:before="20" w:after="20" w:line="252" w:lineRule="auto"/>
            </w:pPr>
            <w:r>
              <w:rPr>
                <w:rFonts w:ascii="Times New Roman" w:hAnsi="Times New Roman" w:eastAsia="Times New Roman"/>
                <w:sz w:val="21"/>
              </w:rPr>
              <w:t>Договор № [___] от [дд.мм.гггг]</w:t>
            </w:r>
          </w:p>
        </w:tc>
      </w:tr>
    </w:tbl>
    <w:p>
      <w:pPr>
        <w:pStyle w:val="Heading1"/>
      </w:pPr>
      <w:r>
        <w:t>1. Предмет договора</w:t>
      </w:r>
    </w:p>
    <w:p>
      <w:r>
        <w:t>1.1. Исполнитель обязуется по заданию Заказчика оказывать маркетинговые, SMM, рекламные, аналитические и сопутствующие услуги, перечень и объем которых определяются настоящим договором, техническими заданиями, приложениями и согласованными письменно задачами, а Заказчик обязуется принимать и оплачивать такие услуги.</w:t>
      </w:r>
    </w:p>
    <w:p>
      <w:r>
        <w:t>1.2. Услуги могут включать: разработку стратегии, контент-плана, подготовку текстов и креативов, публикацию материалов, модерацию сообщений, настройку и ведение рекламных кампаний, аналитику, подготовку отчетности, аудит аккаунтов и сопровождение подрядчиков. Нужные услуги отмечаются в техническом задании или приложении.</w:t>
      </w:r>
    </w:p>
    <w:p>
      <w:r>
        <w:t>1.3. Стороны подтверждают, что настоящий договор является договором возмездного оказания услуг. Если отдельные результаты работы Исполнителя обладают признаками объектов интеллектуальной собственности, правовой режим таких результатов определяется разделом 8 настоящего договора и приложениями к нему.</w:t>
      </w:r>
    </w:p>
    <w:p>
      <w:r>
        <w:t>1.4. Исполнитель не гарантирует рост продаж, прибыли, подписчиков, охватов, количества лидов или иной коммерческий результат, если прямо не предусмотрено приложение с KPI, формулой расчета и перечнем исходных данных. Факт оказания услуг и выполнение KPI являются разными категориями и оцениваются раздельно.</w:t>
      </w:r>
    </w:p>
    <w:p>
      <w:pPr>
        <w:pStyle w:val="Heading1"/>
      </w:pPr>
      <w:r>
        <w:t>2. Объем услуг и порядок постановки задач</w:t>
      </w:r>
    </w:p>
    <w:p>
      <w:r>
        <w:t>2.1. Состав услуг на отчетный период фиксируется в приложении с KPI и отчетностью, в медиаплане, контент-плане, техническом задании, переписке по согласованным каналам связи или в ином документе, на который имеется ссылка в настоящем договоре.</w:t>
      </w:r>
    </w:p>
    <w:p>
      <w:r>
        <w:t>2.2. Переписка по адресам электронной почты, в корпоративном мессенджере, CRM или ином согласованном сервисе признается сторонами надлежащим способом постановки и уточнения задач, если позволяет определить отправителя, содержание поручения и дату направления.</w:t>
      </w:r>
    </w:p>
    <w:p>
      <w:r>
        <w:t>2.3. Исполнитель вправе не приступать к отдельной задаче либо приостановить ее исполнение при отсутствии согласования бюджета, доступов, исходных материалов, прав на использование контента, рекламных макетов или иных обязательных вводных данных.</w:t>
      </w:r>
    </w:p>
    <w:p>
      <w:pPr>
        <w:pStyle w:val="Heading1"/>
      </w:pPr>
      <w:r>
        <w:t>3. KPI, отчетность и приемка услуг</w:t>
      </w:r>
    </w:p>
    <w:p>
      <w:r>
        <w:t>3.1. Показатели эффективности, методика их расчета, отчетный период, исходные системы аналитики и влияние KPI на вознаграждение определяются приложением № 1. При отсутствии такого приложения услуги считаются оказываемыми по модели фиксированного объема действий и отчетности.</w:t>
      </w:r>
    </w:p>
    <w:p>
      <w:r>
        <w:t>3.2. По окончании каждого отчетного периода Исполнитель направляет Заказчику отчет с перечнем выполненных действий, списком переданных материалов, показателями из согласованных систем аналитики и проект акта оказанных услуг.</w:t>
      </w:r>
    </w:p>
    <w:p>
      <w:r>
        <w:t>3.3. Заказчик в течение [3-5] рабочих дней со дня получения отчета и акта обязан либо подписать акт, либо направить мотивированные письменные замечания. Если в указанный срок замечания не направлены, услуги за соответствующий период считаются принятыми в объеме, подтвержденном отчетом, при условии доказанной доставки документов Заказчику.</w:t>
      </w:r>
    </w:p>
    <w:p>
      <w:r>
        <w:t>3.4. Замечания должны содержать конкретный перечень несоответствий со ссылкой на договор, приложение, техническое задание или согласованную задачу. Общие формулировки о неудовлетворительном результате без конкретизации не считаются мотивированными возражениями.</w:t>
      </w:r>
    </w:p>
    <w:p>
      <w:pPr>
        <w:pStyle w:val="Heading1"/>
      </w:pPr>
      <w:r>
        <w:t>4. Права и обязанности сторон</w:t>
      </w:r>
    </w:p>
    <w:p>
      <w:pPr>
        <w:pStyle w:val="Heading2"/>
      </w:pPr>
      <w:r>
        <w:t>4.1. Исполнитель обязан:</w:t>
      </w:r>
    </w:p>
    <w:p>
      <w:pPr>
        <w:ind w:left="340" w:hanging="255"/>
      </w:pPr>
      <w:r>
        <w:t>• оказывать услуги добросовестно, в согласованном объеме и в сроки, определенные договором и заданиями;</w:t>
      </w:r>
    </w:p>
    <w:p>
      <w:pPr>
        <w:ind w:left="340" w:hanging="255"/>
      </w:pPr>
      <w:r>
        <w:t>• использовать доступы только для целей исполнения договора и не передавать их третьим лицам без письменного разрешения Заказчика;</w:t>
      </w:r>
    </w:p>
    <w:p>
      <w:pPr>
        <w:ind w:left="340" w:hanging="255"/>
      </w:pPr>
      <w:r>
        <w:t>• соблюдать требования к маркировке интернет-рекламы, передаче сведений оператору рекламных данных и хранению подтверждающих материалов в пределах обязанностей, прямо возложенных на Исполнителя договором;</w:t>
      </w:r>
    </w:p>
    <w:p>
      <w:pPr>
        <w:ind w:left="340" w:hanging="255"/>
      </w:pPr>
      <w:r>
        <w:t>• незамедлительно уведомлять Заказчика о рисках блокировки аккаунтов, отклонения рекламы, компрометации паролей, утраты доступа, нарушении прав третьих лиц и иных существенных обстоятельствах.</w:t>
      </w:r>
    </w:p>
    <w:p>
      <w:pPr>
        <w:pStyle w:val="Heading2"/>
      </w:pPr>
      <w:r>
        <w:t>4.2. Заказчик обязан:</w:t>
      </w:r>
    </w:p>
    <w:p>
      <w:pPr>
        <w:ind w:left="340" w:hanging="255"/>
      </w:pPr>
      <w:r>
        <w:t>• своевременно предоставлять информацию, согласования, рекламные бюджеты, правомерно приобретенные материалы и доступы, необходимые для работы;</w:t>
      </w:r>
    </w:p>
    <w:p>
      <w:pPr>
        <w:ind w:left="340" w:hanging="255"/>
      </w:pPr>
      <w:r>
        <w:t>• обеспечить наличие законных оснований для использования товарных знаков, изображений, персональных данных, отзывов, фото- и видеоматериалов, передаваемых Исполнителю;</w:t>
      </w:r>
    </w:p>
    <w:p>
      <w:pPr>
        <w:ind w:left="340" w:hanging="255"/>
      </w:pPr>
      <w:r>
        <w:t>• назначить со своей стороны уполномоченное лицо для согласования задач, отчетов, контента и рекламных материалов;</w:t>
      </w:r>
    </w:p>
    <w:p>
      <w:pPr>
        <w:ind w:left="340" w:hanging="255"/>
      </w:pPr>
      <w:r>
        <w:t>• оплачивать услуги в порядке и сроки, установленные договором.</w:t>
      </w:r>
    </w:p>
    <w:p>
      <w:pPr>
        <w:pStyle w:val="Heading1"/>
      </w:pPr>
      <w:r>
        <w:t>5. Доступы, аккаунты, кабинеты и цифровые активы</w:t>
      </w:r>
    </w:p>
    <w:p>
      <w:r>
        <w:t>5.1. Все ключевые аккаунты, страницы, рекламные кабинеты, счетчики аналитики, контейнеры тег-менеджера, доменные записи, корпоративные почтовые ящики, бизнес-менеджеры, пиксели, аудитории и иные цифровые активы, созданные для проекта Заказчика, по общему правилу оформляются на Заказчика либо с назначением Заказчика основным владельцем.</w:t>
      </w:r>
    </w:p>
    <w:p>
      <w:r>
        <w:t>5.2. Исполнитель получает только тот уровень прав, который необходим для оказания услуг. Уровень доступа, дата выдачи, владелец, резервные контакты и порядок возврата фиксируются в приложении № 2.</w:t>
      </w:r>
    </w:p>
    <w:p>
      <w:r>
        <w:t>5.3. Без письменного согласия Заказчика Исполнитель не вправе менять владельца аккаунта, основной адрес электронной почты, номер телефона для восстановления доступа, настройки двухфакторной аутентификации, платежный профиль, состав администраторов или способ восстановления доступа.</w:t>
      </w:r>
    </w:p>
    <w:p>
      <w:r>
        <w:t>5.4. При прекращении договора Исполнитель в срок не позднее [1-3] рабочих дней возвращает или передает доступы, снимает свои права администратора, удаляет свои устройства и подтверждает возврат цифровых активов актом возврата доступов и материалов.</w:t>
      </w:r>
    </w:p>
    <w:p>
      <w:pPr>
        <w:pStyle w:val="Heading1"/>
      </w:pPr>
      <w:r>
        <w:t>6. Персональные данные и конфиденциальность</w:t>
      </w:r>
    </w:p>
    <w:p>
      <w:r>
        <w:t>6.1. Если при исполнении договора Исполнитель получает доступ к персональным данным клиентов, сотрудников, контрагентов, подписчиков, пользователей сайта, посетителей форм заявок, участников программ лояльности или иных субъектов данных, стороны оформляют поручение на обработку персональных данных по приложению либо отдельным документом.</w:t>
      </w:r>
    </w:p>
    <w:p>
      <w:r>
        <w:t>6.2. До оформления такого поручения Исполнитель не вправе копировать базы, выгружать клиентские списки, использовать персональные данные вне целей исполнения договора или передавать их третьим лицам.</w:t>
      </w:r>
    </w:p>
    <w:p>
      <w:r>
        <w:t>6.3. Сведения о маркетинговой стратегии, медиапланах, бюджетах, статистике, клиентских базах, доступах, ценовой политике, воронках продаж, внутренней аналитике и переписке сторон являются конфиденциальной информацией, если иное не следует из их характера или письменного согласия сторон.</w:t>
      </w:r>
    </w:p>
    <w:p>
      <w:pPr>
        <w:pStyle w:val="Heading1"/>
      </w:pPr>
      <w:r>
        <w:t>7. Стоимость услуг и расчеты</w:t>
      </w:r>
    </w:p>
    <w:p>
      <w:r>
        <w:t>7.1. Стоимость услуг определяется в приложении, счете, медиаплане либо ином документе, согласованном сторонами. Вознаграждение может состоять из фиксированной части, переменной части по KPI, бонуса за дополнительный объем или сочетания указанных элементов.</w:t>
      </w:r>
    </w:p>
    <w:p>
      <w:r>
        <w:t>7.2. Рекламный бюджет, расходы на сервисы, подписки, платные инструменты, production, фотосъемку, дизайн, покупку трафика, услуги третьих лиц и иные внешние расходы не включаются в стоимость услуг, если стороны прямо не согласовали иное.</w:t>
      </w:r>
    </w:p>
    <w:p>
      <w:r>
        <w:t>7.3. Основанием для оплаты являются счет, отчет, акт или иной предусмотренный договором документ. При постоплатной модели Заказчик оплачивает услуги в течение [___] рабочих дней со дня подписания акта либо истечения срока на мотивированные возражения.</w:t>
      </w:r>
    </w:p>
    <w:p>
      <w:pPr>
        <w:pStyle w:val="Heading1"/>
      </w:pPr>
      <w:r>
        <w:t>8. Права на результаты интеллектуальной деятельности</w:t>
      </w:r>
    </w:p>
    <w:p>
      <w:r>
        <w:t>8.1. К результатам, создаваемым Исполнителем по договору, могут относиться тексты, слоганы, креативы, баннеры, макеты, сценарии, фото- и видеоматериалы, дизайн-решения, контент-планы, структуры воронок, презентации, таблицы, аналитические отчеты, дашборды, шаблоны сообщений, подборки хештегов, подборки целевых аудиторий и иные материалы.</w:t>
      </w:r>
    </w:p>
    <w:p>
      <w:r>
        <w:t>8.2. Стороны выбирают один из вариантов правового режима: а) исключительные права переходят к Заказчику с момента полной оплаты соответствующего результата; б) Заказчику предоставляется лицензия на условиях, указанных в приложении; в) отдельные результаты остаются у Исполнителя, а Заказчик получает право использования в объеме, необходимом для деятельности проекта.</w:t>
      </w:r>
    </w:p>
    <w:p>
      <w:r>
        <w:t>8.3. Если для использования результатов требуется передача исходных файлов, шаблонов, editable-материалов, доступов к библиотекам, шрифтам, монтажным проектам или иным исходникам, их перечень должен быть указан в отчете или в приложении. При отсутствии такого указания Исполнитель передает итоговые материалы в согласованном формате.</w:t>
      </w:r>
    </w:p>
    <w:p>
      <w:r>
        <w:t>8.4. Исполнитель гарантирует, что созданные им материалы не нарушают права третьих лиц, если такие материалы не были подготовлены на основе предоставленных Заказчиком исходников, брендбука, изображений, отзывов, логотипов, товарных знаков или иных материалов Заказчика.</w:t>
      </w:r>
    </w:p>
    <w:p>
      <w:pPr>
        <w:pStyle w:val="Heading1"/>
      </w:pPr>
      <w:r>
        <w:t>9. Ответственность сторон</w:t>
      </w:r>
    </w:p>
    <w:p>
      <w:r>
        <w:t>9.1. Исполнитель отвечает за разглашение конфиденциальной информации, утрату или несанкционированное изменение доступов по его вине, несогласованную смену владельца аккаунта, несогласованное удаление материалов, нарушение установленного договором порядка использования персональных данных и иные нарушения, доказанно совершенные им при исполнении договора.</w:t>
      </w:r>
    </w:p>
    <w:p>
      <w:r>
        <w:t>9.2. Исполнитель не несет ответственность за коммерческий результат бизнеса Заказчика, если он зависит от факторов вне зоны контроля Исполнителя, включая работу отдела продаж, качество продукта, изменение цен, сезонность, ограничения площадок, блокировки не по вине Исполнителя, отсутствие бюджета, просрочку согласования материалов и иные обстоятельства на стороне Заказчика.</w:t>
      </w:r>
    </w:p>
    <w:p>
      <w:r>
        <w:t>9.3. Заказчик отвечает за законность предоставленных материалов, наличие согласий на использование изображений, отзывов и персональных данных, а также за содержание обязательной информации о товаре, услуге, цене, лицензиях, акциях, скидках и иных сведений, исходящих от Заказчика.</w:t>
      </w:r>
    </w:p>
    <w:p>
      <w:r>
        <w:t>9.4. Стороны вправе установить неустойку, штраф за непередачу доступов, лимит ответственности или порядок возмещения документально подтвержденных убытков в специальном приложении. При отсутствии такого условия применяется общий порядок, установленный законодательством Российской Федерации.</w:t>
      </w:r>
    </w:p>
    <w:p>
      <w:pPr>
        <w:pStyle w:val="Heading1"/>
      </w:pPr>
      <w:r>
        <w:t>10. Срок действия договора и прекращение</w:t>
      </w:r>
    </w:p>
    <w:p>
      <w:r>
        <w:t>10.1. Договор вступает в силу с даты его подписания и действует до [дата / событие / бессрочно до отказа одной из сторон].</w:t>
      </w:r>
    </w:p>
    <w:p>
      <w:r>
        <w:t>10.2. Заказчик вправе отказаться от договора в порядке, установленном гражданским законодательством, с оплатой оказанных услуг и документально подтвержденных расходов Исполнителя, если такие расходы были заранее согласованы или объективно необходимы для исполнения поручения.</w:t>
      </w:r>
    </w:p>
    <w:p>
      <w:r>
        <w:t>10.3. Исполнитель вправе отказаться от договора при условии соблюдения разумного срока предупреждения, передачи результата незавершенных задач в имеющемся состоянии и полного урегулирования вопроса о доступах, материалах и конфиденциальной информации.</w:t>
      </w:r>
    </w:p>
    <w:p>
      <w:r>
        <w:t>10.4. Прекращение договора не освобождает стороны от обязанности подписать итоговые документы, вернуть доступы, удалить копии данных, передать оплаченные результаты работ и соблюсти блок о конфиденциальности.</w:t>
      </w:r>
    </w:p>
    <w:p>
      <w:pPr>
        <w:pStyle w:val="Heading1"/>
      </w:pPr>
      <w:r>
        <w:t>11. Заключительные положения</w:t>
      </w:r>
    </w:p>
    <w:p>
      <w:r>
        <w:t>11.1. Неотъемлемыми частями договора являются: приложение № 1 - KPI и отчетность; приложение № 2 - реестр доступов и передача аккаунтов; при необходимости - поручение на обработку персональных данных, NDA, техническое задание, медиаплан, контент-план и иные документы, подписанные сторонами или согласованные по правилам пункта 2.2.</w:t>
      </w:r>
    </w:p>
    <w:p>
      <w:r>
        <w:t>11.2. Юридически значимые сообщения направляются по реквизитам и каналам связи, указанным в разделе 12. Документы, подписанные усиленной квалифицированной электронной подписью либо через систему электронного документооборота, имеют силу оригинала в случаях, допускаемых законом.</w:t>
      </w:r>
    </w:p>
    <w:p>
      <w:r>
        <w:t>11.3. Споры подлежат урегулированию путем переговоров и обмена претензиями. При недостижении соглашения спор передается на рассмотрение [арбитражного суда / суда общей юрисдикции] по правилам подведомственности и подсудности.</w:t>
      </w:r>
    </w:p>
    <w:p>
      <w:pPr>
        <w:pStyle w:val="Heading1"/>
      </w:pPr>
      <w:r>
        <w:t>12. Реквизиты и подписи сторон</w:t>
      </w:r>
    </w:p>
    <w:tbl>
      <w:tblPr>
        <w:tblStyle w:val="TableGrid"/>
        <w:tblW w:type="auto" w:w="0"/>
        <w:jc w:val="center"/>
        <w:tblLayout w:type="fixed"/>
        <w:tblLook w:firstColumn="1" w:firstRow="1" w:lastColumn="0" w:lastRow="0" w:noHBand="0" w:noVBand="1" w:val="04A0"/>
      </w:tblPr>
      <w:tblGrid>
        <w:gridCol w:w="4819"/>
        <w:gridCol w:w="4819"/>
      </w:tblGrid>
      <w:tr>
        <w:trPr>
          <w:tblHeader w:val="true"/>
        </w:trPr>
        <w:tc>
          <w:tcPr>
            <w:tcW w:type="dxa" w:w="4819"/>
            <w:vAlign w:val="center"/>
            <w:tcMar>
              <w:top w:w="80" w:type="dxa"/>
              <w:start w:w="120" w:type="dxa"/>
              <w:bottom w:w="80" w:type="dxa"/>
              <w:end w:w="120" w:type="dxa"/>
            </w:tcMar>
            <w:shd w:fill="EAF0F8"/>
          </w:tcPr>
          <w:p>
            <w:pPr>
              <w:spacing w:before="20" w:after="20" w:line="252" w:lineRule="auto"/>
            </w:pPr>
            <w:r>
              <w:rPr>
                <w:rFonts w:ascii="Times New Roman" w:hAnsi="Times New Roman" w:eastAsia="Times New Roman"/>
                <w:b/>
                <w:sz w:val="21"/>
              </w:rPr>
              <w:t>Заказчик</w:t>
            </w:r>
          </w:p>
        </w:tc>
        <w:tc>
          <w:tcPr>
            <w:tcW w:type="dxa" w:w="4819"/>
            <w:vAlign w:val="center"/>
            <w:tcMar>
              <w:top w:w="80" w:type="dxa"/>
              <w:start w:w="120" w:type="dxa"/>
              <w:bottom w:w="80" w:type="dxa"/>
              <w:end w:w="120" w:type="dxa"/>
            </w:tcMar>
            <w:shd w:fill="EAF0F8"/>
          </w:tcPr>
          <w:p>
            <w:pPr>
              <w:spacing w:before="20" w:after="20" w:line="252" w:lineRule="auto"/>
            </w:pPr>
            <w:r>
              <w:rPr>
                <w:rFonts w:ascii="Times New Roman" w:hAnsi="Times New Roman" w:eastAsia="Times New Roman"/>
                <w:b/>
                <w:sz w:val="21"/>
              </w:rPr>
              <w:t>Исполнитель</w:t>
            </w:r>
          </w:p>
        </w:tc>
      </w:tr>
      <w:tr>
        <w:tc>
          <w:tcPr>
            <w:tcW w:type="dxa" w:w="4819"/>
            <w:vAlign w:val="center"/>
            <w:tcMar>
              <w:top w:w="80" w:type="dxa"/>
              <w:start w:w="120" w:type="dxa"/>
              <w:bottom w:w="80" w:type="dxa"/>
              <w:end w:w="120" w:type="dxa"/>
            </w:tcMar>
          </w:tcPr>
          <w:p>
            <w:pPr>
              <w:spacing w:before="20" w:after="20" w:line="252" w:lineRule="auto"/>
            </w:pPr>
            <w:r>
              <w:rPr>
                <w:rFonts w:ascii="Times New Roman" w:hAnsi="Times New Roman" w:eastAsia="Times New Roman"/>
                <w:sz w:val="21"/>
              </w:rPr>
              <w:t>[Наименование, адрес, ИНН, ОГРН, банк, e-mail, телефон]</w:t>
              <w:br/>
              <w:br/>
              <w:t>________________ /[Ф.И.О.]/</w:t>
            </w:r>
          </w:p>
        </w:tc>
        <w:tc>
          <w:tcPr>
            <w:tcW w:type="dxa" w:w="4819"/>
            <w:vAlign w:val="center"/>
            <w:tcMar>
              <w:top w:w="80" w:type="dxa"/>
              <w:start w:w="120" w:type="dxa"/>
              <w:bottom w:w="80" w:type="dxa"/>
              <w:end w:w="120" w:type="dxa"/>
            </w:tcMar>
          </w:tcPr>
          <w:p>
            <w:pPr>
              <w:spacing w:before="20" w:after="20" w:line="252" w:lineRule="auto"/>
            </w:pPr>
            <w:r>
              <w:rPr>
                <w:rFonts w:ascii="Times New Roman" w:hAnsi="Times New Roman" w:eastAsia="Times New Roman"/>
                <w:sz w:val="21"/>
              </w:rPr>
              <w:t>[Наименование, адрес, ИНН, ОГРН, банк, e-mail, телефон]</w:t>
              <w:br/>
              <w:br/>
              <w:t>________________ /[Ф.И.О.]/</w:t>
            </w:r>
          </w:p>
        </w:tc>
      </w:tr>
    </w:tbl>
    <w:p>
      <w:pPr>
        <w:pStyle w:val="Heading1"/>
      </w:pPr>
      <w:r>
        <w:t>Подсказка по настройке шаблона</w:t>
      </w:r>
    </w:p>
    <w:p>
      <w:pPr>
        <w:ind w:left="340" w:hanging="255"/>
      </w:pPr>
      <w:r>
        <w:t>• если подрядчик ведет интернет-рекламу, распределите в договоре, кто маркирует рекламу и кто передает сведения оператору рекламных данных;</w:t>
      </w:r>
    </w:p>
    <w:p>
      <w:pPr>
        <w:ind w:left="340" w:hanging="255"/>
      </w:pPr>
      <w:r>
        <w:t>• если подрядчик имеет доступ к CRM, формам заявок, чатам или базе клиентов, оформите отдельное поручение на обработку персональных данных;</w:t>
      </w:r>
    </w:p>
    <w:p>
      <w:pPr>
        <w:ind w:left="340" w:hanging="255"/>
      </w:pPr>
      <w:r>
        <w:t>• если в работе создаются тексты, баннеры и ролики, выберите понятный режим прав: переход исключительных прав или лицензия;</w:t>
      </w:r>
    </w:p>
    <w:p>
      <w:pPr>
        <w:ind w:left="340" w:hanging="255"/>
      </w:pPr>
      <w:r>
        <w:t>• если стороны хотят привязать оплату к лидам или продажам, укажите исходные системы аналитики, формулу расчета и факторы, не зависящие от Исполнителя.</w:t>
      </w:r>
    </w:p>
    <w:sectPr w:rsidR="00FC693F" w:rsidRPr="0006063C" w:rsidSect="00034616">
      <w:headerReference w:type="default" r:id="rId9"/>
      <w:footerReference w:type="default" r:id="rId10"/>
      <w:pgSz w:w="11906" w:h="16838"/>
      <w:pgMar w:top="1134" w:right="1134" w:bottom="1020" w:left="1134"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color w:val="6E7681"/>
        <w:sz w:val="17"/>
      </w:rPr>
      <w:t xml:space="preserve">Стр. </w:t>
    </w:r>
    <w:r>
      <w:fldChar w:fldCharType="begin"/>
      <w:instrText xml:space="preserve">PAGE</w:instrText>
      <w:fldChar w:fldCharType="separate"/>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color w:val="6E7681"/>
        <w:sz w:val="17"/>
      </w:rPr>
      <w:t>Шаблон договора оказания маркетинговых услуг / SMM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Times New Roman" w:hAnsi="Times New Roman" w:eastAsia="Times New Roman"/>
      <w:b/>
      <w:bCs/>
      <w:color w:val="313F57"/>
      <w:sz w:val="24"/>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Times New Roman" w:hAnsi="Times New Roman" w:eastAsia="Times New Roman"/>
      <w:b/>
      <w:bCs/>
      <w:color w:val="313F57"/>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Title">
    <w:name w:val="Doc Title"/>
    <w:pPr>
      <w:spacing w:after="80"/>
      <w:jc w:val="center"/>
    </w:pPr>
    <w:rPr>
      <w:rFonts w:ascii="Times New Roman" w:hAnsi="Times New Roman" w:eastAsia="Times New Roman"/>
      <w:b/>
      <w:color w:val="313F57"/>
      <w:sz w:val="28"/>
    </w:rPr>
  </w:style>
  <w:style w:type="paragraph" w:customStyle="1" w:styleId="DocSubtitle">
    <w:name w:val="Doc Subtitle"/>
    <w:pPr>
      <w:spacing w:after="200"/>
      <w:jc w:val="center"/>
    </w:pPr>
    <w:rPr>
      <w:rFonts w:ascii="Times New Roman" w:hAnsi="Times New Roman" w:eastAsia="Times New Roman"/>
      <w:i/>
      <w:color w:val="5C6470"/>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