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Чеклист аудита структуры на риск дробления бизнеса</w:t>
      </w:r>
    </w:p>
    <w:p>
      <w:pPr>
        <w:pStyle w:val="Subtitle"/>
      </w:pPr>
      <w:r>
        <w:t>Шаблон для внутренней первичной проверки. Не заменяет налоговое и правовое заключение.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B7C4D4"/>
          <w:left w:val="single" w:sz="8" w:space="0" w:color="B7C4D4"/>
          <w:bottom w:val="single" w:sz="8" w:space="0" w:color="B7C4D4"/>
          <w:right w:val="single" w:sz="8" w:space="0" w:color="B7C4D4"/>
          <w:insideH w:val="single" w:sz="8" w:space="0" w:color="B7C4D4"/>
          <w:insideV w:val="single" w:sz="8" w:space="0" w:color="B7C4D4"/>
        </w:tblBorders>
      </w:tblPr>
      <w:tblGrid>
        <w:gridCol w:w="9866"/>
      </w:tblGrid>
      <w:tr>
        <w:tc>
          <w:tcPr>
            <w:tcW w:type="dxa" w:w="9866"/>
            <w:shd w:fill="F4F8FB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r>
              <w:rPr>
                <w:rFonts w:ascii="Times New Roman" w:hAnsi="Times New Roman" w:eastAsia="Times New Roman"/>
                <w:b/>
                <w:color w:val="1F2937"/>
                <w:sz w:val="21"/>
              </w:rPr>
              <w:t xml:space="preserve">Как пользоваться: </w:t>
            </w:r>
            <w:r>
              <w:rPr>
                <w:rFonts w:ascii="Times New Roman" w:hAnsi="Times New Roman" w:eastAsia="Times New Roman"/>
                <w:sz w:val="21"/>
              </w:rPr>
              <w:t>Заполните документ по каждому юрлицу и ИП в группе. Отмечайте только факты, которые можно подтвердить документами, платежами, кадровыми данными и реальной операционной моделью.</w:t>
            </w:r>
          </w:p>
        </w:tc>
      </w:tr>
    </w:tbl>
    <w:p/>
    <w:p>
      <w:pPr>
        <w:pStyle w:val="Heading1"/>
      </w:pPr>
      <w:r>
        <w:t>1. Общая информация о группе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835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Поле</w:t>
            </w:r>
          </w:p>
        </w:tc>
        <w:tc>
          <w:tcPr>
            <w:tcW w:type="dxa" w:w="6576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Что заполнить / отметить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Период анализа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Основное контролирующее лицо / группа лиц</w:t>
            </w:r>
          </w:p>
        </w:tc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Количество компаний / ИП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Основные направления бизнеса</w:t>
            </w:r>
          </w:p>
        </w:tc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Применяемые налоговые режимы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</w:tbl>
    <w:p/>
    <w:p>
      <w:pPr>
        <w:pStyle w:val="Heading1"/>
      </w:pPr>
      <w:r>
        <w:t>2. Быстрый скрининг по красным флагам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1973"/>
        <w:gridCol w:w="1973"/>
        <w:gridCol w:w="1973"/>
        <w:gridCol w:w="1973"/>
        <w:gridCol w:w="1973"/>
      </w:tblGrid>
      <w:tr>
        <w:trPr>
          <w:tblHeader w:val="true"/>
        </w:trPr>
        <w:tc>
          <w:tcPr>
            <w:tcW w:type="dxa" w:w="4592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Вопрос</w:t>
            </w:r>
          </w:p>
        </w:tc>
        <w:tc>
          <w:tcPr>
            <w:tcW w:type="dxa" w:w="680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Да</w:t>
            </w:r>
          </w:p>
        </w:tc>
        <w:tc>
          <w:tcPr>
            <w:tcW w:type="dxa" w:w="680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Нет</w:t>
            </w:r>
          </w:p>
        </w:tc>
        <w:tc>
          <w:tcPr>
            <w:tcW w:type="dxa" w:w="964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Частично</w:t>
            </w:r>
          </w:p>
        </w:tc>
        <w:tc>
          <w:tcPr>
            <w:tcW w:type="dxa" w:w="3061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Комментарий / документ-подтверждение</w:t>
            </w:r>
          </w:p>
        </w:tc>
      </w:tr>
      <w:tr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У нескольких лиц один фактический центр управления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Используются общие сотрудники без прозрачной сервисной модели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Одна компания или ИП оплачивает расходы другой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Клиенты и поставщики по сути общие, а выручка разделена между лицами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Общие офис, склад, оборудование, сайт, реклама или телефония не оформлены договорами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У части лиц нет собственных ресурсов, но есть значимая выручка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Решения по ценам, персоналу и контрагентам принимает один и тот же круг лиц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Структура выглядит привязанной к лимитам спецрежима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☐</w:t>
            </w:r>
          </w:p>
        </w:tc>
        <w:tc>
          <w:tcPr>
            <w:tcW w:type="dxa" w:w="197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</w:tbl>
    <w:p/>
    <w:p>
      <w:pPr>
        <w:pStyle w:val="Heading1"/>
      </w:pPr>
      <w:r>
        <w:t>3. Проверка деловой цели</w:t>
      </w:r>
    </w:p>
    <w:p>
      <w:pPr>
        <w:ind w:left="227" w:hanging="227"/>
      </w:pPr>
      <w:r>
        <w:rPr>
          <w:b/>
        </w:rPr>
        <w:t xml:space="preserve">• </w:t>
      </w:r>
      <w:r>
        <w:t>Есть ли у каждого участника группы самостоятельная экономическая роль: отдельный продукт, регион, канал продаж, лицензируемая функция, проектный риск или отдельный инвестор.</w:t>
      </w:r>
    </w:p>
    <w:p>
      <w:pPr>
        <w:ind w:left="227" w:hanging="227"/>
      </w:pPr>
      <w:r>
        <w:rPr>
          <w:b/>
        </w:rPr>
        <w:t xml:space="preserve">• </w:t>
      </w:r>
      <w:r>
        <w:t>Можно ли объяснить существующую структуру без ссылки на налоговую экономию.</w:t>
      </w:r>
    </w:p>
    <w:p>
      <w:pPr>
        <w:ind w:left="227" w:hanging="227"/>
      </w:pPr>
      <w:r>
        <w:rPr>
          <w:b/>
        </w:rPr>
        <w:t xml:space="preserve">• </w:t>
      </w:r>
      <w:r>
        <w:t>Подтверждается ли деловая цель документами: бизнес-планом, решениями участников, договорами, бюджетами, кадровой моделью.</w:t>
      </w:r>
    </w:p>
    <w:p>
      <w:pPr>
        <w:pStyle w:val="Heading1"/>
      </w:pPr>
      <w:r>
        <w:t>4. Проверка самостоятельности участников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1361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Блок</w:t>
            </w:r>
          </w:p>
        </w:tc>
        <w:tc>
          <w:tcPr>
            <w:tcW w:type="dxa" w:w="3402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Что проверить</w:t>
            </w:r>
          </w:p>
        </w:tc>
        <w:tc>
          <w:tcPr>
            <w:tcW w:type="dxa" w:w="2835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Факт / ссылка на документ</w:t>
            </w:r>
          </w:p>
        </w:tc>
        <w:tc>
          <w:tcPr>
            <w:tcW w:type="dxa" w:w="1247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Оценка риска</w:t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Управление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Кто принимает решения, подписывает ключевые договоры, утверждает цены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Низкий / средний / высокий</w:t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Персонал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Где реально работают сотрудники, есть ли формальные переводы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Низкий / средний / высокий</w:t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Активы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Кому принадлежат офис, склад, техника, сайт, домен, реклама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Низкий / средний / высокий</w:t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  <w:t>Деньги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Есть ли смешение расходов, займы, взаимозачеты, кассовые разрывы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Низкий / средний / высокий</w:t>
            </w:r>
          </w:p>
        </w:tc>
      </w:tr>
      <w:tr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Контрагенты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Совпадают ли клиенты и поставщики, кто реально ведет переговоры</w:t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Низкий / средний / высокий</w:t>
            </w:r>
          </w:p>
        </w:tc>
      </w:tr>
      <w:tr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Документы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Совпадает ли бумажная модель с фактической работой</w:t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2466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Низкий / средний / высокий</w:t>
            </w:r>
          </w:p>
        </w:tc>
      </w:tr>
    </w:tbl>
    <w:p/>
    <w:p>
      <w:pPr>
        <w:pStyle w:val="Heading1"/>
      </w:pPr>
      <w:r>
        <w:t>5. Итог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835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Поле</w:t>
            </w:r>
          </w:p>
        </w:tc>
        <w:tc>
          <w:tcPr>
            <w:tcW w:type="dxa" w:w="6576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Что заполнить / отметить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Общая оценка риска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Низкий / средний / высокий</w:t>
            </w:r>
          </w:p>
        </w:tc>
      </w:tr>
      <w:tr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Какие факторы требуют немедленной доработки</w:t>
            </w:r>
          </w:p>
        </w:tc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Какие действия можно сделать в течение 30 дней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Какие документы нужно собрать до консультации</w:t>
            </w:r>
          </w:p>
        </w:tc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</w:tbl>
    <w:p/>
    <w:p>
      <w:r>
        <w:rPr>
          <w:b/>
        </w:rPr>
        <w:t xml:space="preserve">Внутренняя отметка: </w:t>
      </w:r>
      <w:r>
        <w:t>чеклист удобен как стартовый документ перед консультацией с налоговым юристом и бухгалтером.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1020" w:left="102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6B7280"/>
        <w:sz w:val="16"/>
      </w:rPr>
      <w:t>Подготовлено как внутренний шаблон. Заполнить перед использованием.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 w:eastAsia="Times New Roman"/>
        <w:color w:val="6B7280"/>
        <w:sz w:val="18"/>
      </w:rPr>
      <w:t>Рабочий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2345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293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4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7415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F2937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80"/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6B7280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